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0261" w14:textId="77777777" w:rsidR="00433392" w:rsidRDefault="00000000">
      <w:pPr>
        <w:pStyle w:val="Title"/>
        <w:spacing w:before="36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05CB45" wp14:editId="6A53E650">
            <wp:simplePos x="0" y="0"/>
            <wp:positionH relativeFrom="page">
              <wp:posOffset>581069</wp:posOffset>
            </wp:positionH>
            <wp:positionV relativeFrom="paragraph">
              <wp:posOffset>5617</wp:posOffset>
            </wp:positionV>
            <wp:extent cx="1447728" cy="1062911"/>
            <wp:effectExtent l="0" t="0" r="0" b="0"/>
            <wp:wrapNone/>
            <wp:docPr id="1" name="Image 1" descr="A close up of a 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close up of a logo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28" cy="106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Australia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Awards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Mongolia</w:t>
      </w:r>
    </w:p>
    <w:p w14:paraId="572AFFC7" w14:textId="77777777" w:rsidR="00433392" w:rsidRDefault="00000000">
      <w:pPr>
        <w:pStyle w:val="Title"/>
      </w:pPr>
      <w:r>
        <w:rPr>
          <w:color w:val="00AFEF"/>
        </w:rPr>
        <w:t>English</w:t>
      </w:r>
      <w:r>
        <w:rPr>
          <w:color w:val="00AFEF"/>
          <w:spacing w:val="-15"/>
        </w:rPr>
        <w:t xml:space="preserve"> </w:t>
      </w:r>
      <w:r>
        <w:rPr>
          <w:color w:val="00AFEF"/>
        </w:rPr>
        <w:t>language</w:t>
      </w:r>
      <w:r>
        <w:rPr>
          <w:color w:val="00AFEF"/>
          <w:spacing w:val="-17"/>
        </w:rPr>
        <w:t xml:space="preserve"> </w:t>
      </w:r>
      <w:r>
        <w:rPr>
          <w:color w:val="00AFEF"/>
        </w:rPr>
        <w:t>requirements</w:t>
      </w:r>
      <w:r>
        <w:rPr>
          <w:color w:val="00AFEF"/>
          <w:spacing w:val="-15"/>
        </w:rPr>
        <w:t xml:space="preserve"> </w:t>
      </w:r>
      <w:r>
        <w:rPr>
          <w:color w:val="00AFEF"/>
          <w:spacing w:val="-2"/>
        </w:rPr>
        <w:t>factsheet</w:t>
      </w:r>
    </w:p>
    <w:p w14:paraId="27A36C81" w14:textId="77777777" w:rsidR="00433392" w:rsidRDefault="00433392">
      <w:pPr>
        <w:pStyle w:val="BodyText"/>
        <w:spacing w:before="240"/>
        <w:ind w:left="0"/>
        <w:jc w:val="left"/>
        <w:rPr>
          <w:sz w:val="28"/>
        </w:rPr>
      </w:pPr>
    </w:p>
    <w:p w14:paraId="43866A54" w14:textId="77777777" w:rsidR="00433392" w:rsidRDefault="00000000">
      <w:pPr>
        <w:ind w:left="100" w:right="290"/>
        <w:jc w:val="both"/>
        <w:rPr>
          <w:sz w:val="28"/>
        </w:rPr>
      </w:pPr>
      <w:r>
        <w:rPr>
          <w:color w:val="00AFEF"/>
          <w:sz w:val="28"/>
        </w:rPr>
        <w:t>English language proficiency is essential to succeed in post-graduate studies at Australian universities. For an Australia Awards Scholarship application to be eligible, a valid IELTS (Academic), or TOEFL-iBT, or PTE Academic certificate must be included.</w:t>
      </w:r>
    </w:p>
    <w:p w14:paraId="16A9EDB6" w14:textId="77777777" w:rsidR="00433392" w:rsidRDefault="00000000">
      <w:pPr>
        <w:pStyle w:val="Heading1"/>
        <w:spacing w:before="240"/>
        <w:ind w:left="100"/>
        <w:jc w:val="both"/>
      </w:pPr>
      <w:r>
        <w:rPr>
          <w:color w:val="001F5F"/>
        </w:rPr>
        <w:t>Overall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requirements</w:t>
      </w:r>
    </w:p>
    <w:p w14:paraId="101126C0" w14:textId="77777777" w:rsidR="00433392" w:rsidRDefault="00433392">
      <w:pPr>
        <w:jc w:val="both"/>
        <w:sectPr w:rsidR="00433392" w:rsidSect="005E2FB1">
          <w:type w:val="continuous"/>
          <w:pgSz w:w="11910" w:h="16840"/>
          <w:pgMar w:top="800" w:right="560" w:bottom="280" w:left="720" w:header="720" w:footer="720" w:gutter="0"/>
          <w:cols w:space="720"/>
        </w:sectPr>
      </w:pPr>
    </w:p>
    <w:p w14:paraId="7D086019" w14:textId="5A2A025F" w:rsidR="00433392" w:rsidRDefault="00000000">
      <w:pPr>
        <w:pStyle w:val="BodyText"/>
        <w:ind w:left="103" w:right="38"/>
      </w:pPr>
      <w:r>
        <w:rPr>
          <w:color w:val="001F60"/>
        </w:rPr>
        <w:t>To meet eligibility requirements for an Australia Awards Scholarship, a valid English language proficiency test certificate (IELTS (Academic), TOEFL-iBT, or PTE Academic) must be submitted with the online</w:t>
      </w:r>
      <w:r>
        <w:rPr>
          <w:color w:val="001F60"/>
          <w:spacing w:val="40"/>
        </w:rPr>
        <w:t xml:space="preserve"> </w:t>
      </w:r>
      <w:r>
        <w:rPr>
          <w:color w:val="001F60"/>
        </w:rPr>
        <w:t>application. English language proficiency certificates are valid for two-years. Therefore, they must be dated no earlier than 1 January 202</w:t>
      </w:r>
      <w:r w:rsidR="00A61164">
        <w:rPr>
          <w:color w:val="001F60"/>
        </w:rPr>
        <w:t>3</w:t>
      </w:r>
      <w:r>
        <w:rPr>
          <w:color w:val="001F60"/>
        </w:rPr>
        <w:t>.</w:t>
      </w:r>
    </w:p>
    <w:p w14:paraId="455BA2CE" w14:textId="77777777" w:rsidR="00433392" w:rsidRDefault="00000000">
      <w:pPr>
        <w:pStyle w:val="BodyText"/>
        <w:spacing w:before="121"/>
        <w:ind w:left="103" w:right="38"/>
      </w:pPr>
      <w:r>
        <w:rPr>
          <w:color w:val="001F60"/>
        </w:rPr>
        <w:t>Where an institution’s academic English language requirement is higher than DFAT’s requirement for the main course of study, the awardee must meet the institution’s requirement.</w:t>
      </w:r>
    </w:p>
    <w:p w14:paraId="67819F43" w14:textId="77777777" w:rsidR="00433392" w:rsidRDefault="00000000">
      <w:pPr>
        <w:pStyle w:val="BodyText"/>
        <w:ind w:left="103" w:right="38"/>
      </w:pPr>
      <w:r>
        <w:rPr>
          <w:b/>
          <w:color w:val="001F60"/>
        </w:rPr>
        <w:t>Note</w:t>
      </w:r>
      <w:r>
        <w:rPr>
          <w:color w:val="001F60"/>
        </w:rPr>
        <w:t>: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No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exemption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from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providing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an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English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language proficiency certificate is given to those who gained tertiary qualifications abroad in English.</w:t>
      </w:r>
    </w:p>
    <w:p w14:paraId="72C7B2CA" w14:textId="77777777" w:rsidR="00433392" w:rsidRDefault="00000000">
      <w:pPr>
        <w:spacing w:before="120"/>
        <w:ind w:left="103" w:right="38"/>
        <w:jc w:val="both"/>
      </w:pPr>
      <w:r>
        <w:rPr>
          <w:color w:val="001F60"/>
        </w:rPr>
        <w:t>For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further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details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about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English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language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scores,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>see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 xml:space="preserve">the </w:t>
      </w:r>
      <w:r>
        <w:rPr>
          <w:b/>
          <w:i/>
          <w:color w:val="0462C1"/>
        </w:rPr>
        <w:t>Austra</w:t>
      </w:r>
      <w:hyperlink r:id="rId6">
        <w:r>
          <w:rPr>
            <w:b/>
            <w:i/>
            <w:color w:val="0462C1"/>
            <w:u w:val="thick" w:color="0462C1"/>
          </w:rPr>
          <w:t>lia Awards Scholarships Policy Handbook</w:t>
        </w:r>
      </w:hyperlink>
      <w:r>
        <w:rPr>
          <w:b/>
          <w:i/>
          <w:color w:val="0462C1"/>
        </w:rPr>
        <w:t xml:space="preserve"> </w:t>
      </w:r>
      <w:r>
        <w:rPr>
          <w:b/>
          <w:i/>
          <w:color w:val="001F60"/>
        </w:rPr>
        <w:t>(Section 2.4)</w:t>
      </w:r>
      <w:r>
        <w:rPr>
          <w:color w:val="001F60"/>
        </w:rPr>
        <w:t>.</w:t>
      </w:r>
    </w:p>
    <w:p w14:paraId="7222ED56" w14:textId="77777777" w:rsidR="00433392" w:rsidRDefault="00000000">
      <w:pPr>
        <w:pStyle w:val="Heading1"/>
      </w:pPr>
      <w:r>
        <w:rPr>
          <w:color w:val="001F60"/>
          <w:spacing w:val="-2"/>
        </w:rPr>
        <w:t>IELTS</w:t>
      </w:r>
    </w:p>
    <w:p w14:paraId="40F7E31E" w14:textId="77777777" w:rsidR="00433392" w:rsidRDefault="00000000">
      <w:pPr>
        <w:pStyle w:val="BodyText"/>
        <w:spacing w:before="117"/>
        <w:ind w:left="103" w:right="38"/>
      </w:pPr>
      <w:r>
        <w:rPr>
          <w:color w:val="001F60"/>
        </w:rPr>
        <w:t>Applicants require an IELTS (Academic) score of 6.0 (with no individual band score of less than 5.5), or an equivalent Official TOEFL-iBT, or PTE Academic score [see table below].</w:t>
      </w:r>
    </w:p>
    <w:p w14:paraId="00D0DEE1" w14:textId="48907D00" w:rsidR="00433392" w:rsidRDefault="00A61164">
      <w:pPr>
        <w:pStyle w:val="BodyText"/>
        <w:ind w:left="103" w:right="38"/>
      </w:pPr>
      <w:r>
        <w:rPr>
          <w:color w:val="001F60"/>
        </w:rPr>
        <w:t>Applicants require an IELTS (Academic) overall score of at least 6.5 with no band score less than 6.0 to be accepted into courses at Australian universities</w:t>
      </w:r>
      <w:r w:rsidR="00000000">
        <w:rPr>
          <w:color w:val="001F60"/>
        </w:rPr>
        <w:t>.</w:t>
      </w:r>
    </w:p>
    <w:p w14:paraId="6802FD35" w14:textId="77777777" w:rsidR="00433392" w:rsidRDefault="00000000">
      <w:pPr>
        <w:pStyle w:val="Heading1"/>
      </w:pPr>
      <w:r>
        <w:rPr>
          <w:color w:val="001F60"/>
        </w:rPr>
        <w:t>TOEFL-iBT</w:t>
      </w:r>
      <w:r>
        <w:rPr>
          <w:color w:val="001F60"/>
          <w:spacing w:val="-3"/>
        </w:rPr>
        <w:t xml:space="preserve"> </w:t>
      </w:r>
      <w:r>
        <w:rPr>
          <w:color w:val="001F60"/>
        </w:rPr>
        <w:t>or</w:t>
      </w:r>
      <w:r>
        <w:rPr>
          <w:color w:val="001F60"/>
          <w:spacing w:val="-1"/>
        </w:rPr>
        <w:t xml:space="preserve"> </w:t>
      </w:r>
      <w:r>
        <w:rPr>
          <w:color w:val="001F60"/>
        </w:rPr>
        <w:t xml:space="preserve">PTE </w:t>
      </w:r>
      <w:r>
        <w:rPr>
          <w:color w:val="001F60"/>
          <w:spacing w:val="-2"/>
        </w:rPr>
        <w:t>Academic</w:t>
      </w:r>
    </w:p>
    <w:p w14:paraId="55B8BF2F" w14:textId="77777777" w:rsidR="00433392" w:rsidRDefault="00433392">
      <w:pPr>
        <w:pStyle w:val="BodyText"/>
        <w:spacing w:before="87"/>
        <w:ind w:left="0"/>
        <w:jc w:val="left"/>
        <w:rPr>
          <w:b/>
          <w:sz w:val="24"/>
        </w:rPr>
      </w:pPr>
    </w:p>
    <w:p w14:paraId="2B8B46B7" w14:textId="77777777" w:rsidR="00433392" w:rsidRDefault="00000000">
      <w:pPr>
        <w:pStyle w:val="BodyText"/>
        <w:spacing w:before="1"/>
        <w:ind w:left="129" w:right="1"/>
        <w:jc w:val="left"/>
      </w:pPr>
      <w:r>
        <w:rPr>
          <w:color w:val="001F5F"/>
        </w:rPr>
        <w:t>IELTS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(Academic)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equivalent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TOEFL-iBT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and PTE Academic scores can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be found 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 table below.</w:t>
      </w:r>
    </w:p>
    <w:p w14:paraId="1924AFC0" w14:textId="77777777" w:rsidR="00433392" w:rsidRDefault="00433392"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71"/>
        <w:gridCol w:w="1462"/>
        <w:gridCol w:w="943"/>
      </w:tblGrid>
      <w:tr w:rsidR="00433392" w14:paraId="3A212BA0" w14:textId="77777777">
        <w:trPr>
          <w:trHeight w:val="357"/>
        </w:trPr>
        <w:tc>
          <w:tcPr>
            <w:tcW w:w="1440" w:type="dxa"/>
            <w:shd w:val="clear" w:color="auto" w:fill="1F3863"/>
          </w:tcPr>
          <w:p w14:paraId="2F77275A" w14:textId="77777777" w:rsidR="00433392" w:rsidRDefault="00433392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171" w:type="dxa"/>
            <w:shd w:val="clear" w:color="auto" w:fill="1F3863"/>
          </w:tcPr>
          <w:p w14:paraId="092D6FEE" w14:textId="77777777" w:rsidR="00433392" w:rsidRDefault="00000000">
            <w:pPr>
              <w:pStyle w:val="TableParagraph"/>
              <w:spacing w:before="42"/>
              <w:ind w:right="4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IELTS</w:t>
            </w:r>
          </w:p>
        </w:tc>
        <w:tc>
          <w:tcPr>
            <w:tcW w:w="1462" w:type="dxa"/>
            <w:shd w:val="clear" w:color="auto" w:fill="1F3863"/>
          </w:tcPr>
          <w:p w14:paraId="2F2BB4D6" w14:textId="77777777" w:rsidR="00433392" w:rsidRDefault="00000000">
            <w:pPr>
              <w:pStyle w:val="TableParagraph"/>
              <w:spacing w:before="42"/>
              <w:ind w:left="14" w:right="3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TOEFL-</w:t>
            </w:r>
            <w:r>
              <w:rPr>
                <w:color w:val="FFFFFF"/>
                <w:spacing w:val="-5"/>
                <w:sz w:val="24"/>
              </w:rPr>
              <w:t>iBT</w:t>
            </w:r>
          </w:p>
        </w:tc>
        <w:tc>
          <w:tcPr>
            <w:tcW w:w="943" w:type="dxa"/>
            <w:shd w:val="clear" w:color="auto" w:fill="1F3863"/>
          </w:tcPr>
          <w:p w14:paraId="3AC53223" w14:textId="77777777" w:rsidR="00433392" w:rsidRDefault="00000000">
            <w:pPr>
              <w:pStyle w:val="TableParagraph"/>
              <w:spacing w:before="42"/>
              <w:ind w:left="9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PTE</w:t>
            </w:r>
          </w:p>
        </w:tc>
      </w:tr>
      <w:tr w:rsidR="00433392" w14:paraId="5B4EE118" w14:textId="77777777">
        <w:trPr>
          <w:trHeight w:val="354"/>
        </w:trPr>
        <w:tc>
          <w:tcPr>
            <w:tcW w:w="1440" w:type="dxa"/>
          </w:tcPr>
          <w:p w14:paraId="25937AD5" w14:textId="77777777" w:rsidR="00433392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Listening</w:t>
            </w:r>
          </w:p>
        </w:tc>
        <w:tc>
          <w:tcPr>
            <w:tcW w:w="1171" w:type="dxa"/>
          </w:tcPr>
          <w:p w14:paraId="25DC11D3" w14:textId="77777777" w:rsidR="00433392" w:rsidRDefault="00000000">
            <w:pPr>
              <w:pStyle w:val="TableParagraph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5.5</w:t>
            </w:r>
          </w:p>
        </w:tc>
        <w:tc>
          <w:tcPr>
            <w:tcW w:w="1462" w:type="dxa"/>
          </w:tcPr>
          <w:p w14:paraId="06A49A55" w14:textId="77777777" w:rsidR="00433392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17</w:t>
            </w:r>
          </w:p>
        </w:tc>
        <w:tc>
          <w:tcPr>
            <w:tcW w:w="943" w:type="dxa"/>
          </w:tcPr>
          <w:p w14:paraId="73C157B6" w14:textId="77777777" w:rsidR="0043339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43</w:t>
            </w:r>
          </w:p>
        </w:tc>
      </w:tr>
      <w:tr w:rsidR="00433392" w14:paraId="4DF0D0FB" w14:textId="77777777">
        <w:trPr>
          <w:trHeight w:val="357"/>
        </w:trPr>
        <w:tc>
          <w:tcPr>
            <w:tcW w:w="1440" w:type="dxa"/>
          </w:tcPr>
          <w:p w14:paraId="7C1E38D8" w14:textId="77777777" w:rsidR="00433392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Writing</w:t>
            </w:r>
          </w:p>
        </w:tc>
        <w:tc>
          <w:tcPr>
            <w:tcW w:w="1171" w:type="dxa"/>
          </w:tcPr>
          <w:p w14:paraId="2E77C296" w14:textId="77777777" w:rsidR="00433392" w:rsidRDefault="00000000">
            <w:pPr>
              <w:pStyle w:val="TableParagraph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5.5</w:t>
            </w:r>
          </w:p>
        </w:tc>
        <w:tc>
          <w:tcPr>
            <w:tcW w:w="1462" w:type="dxa"/>
          </w:tcPr>
          <w:p w14:paraId="4370C1BE" w14:textId="77777777" w:rsidR="00433392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17</w:t>
            </w:r>
          </w:p>
        </w:tc>
        <w:tc>
          <w:tcPr>
            <w:tcW w:w="943" w:type="dxa"/>
          </w:tcPr>
          <w:p w14:paraId="57C57A47" w14:textId="77777777" w:rsidR="0043339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43</w:t>
            </w:r>
          </w:p>
        </w:tc>
      </w:tr>
      <w:tr w:rsidR="00433392" w14:paraId="3713DA5F" w14:textId="77777777">
        <w:trPr>
          <w:trHeight w:val="354"/>
        </w:trPr>
        <w:tc>
          <w:tcPr>
            <w:tcW w:w="1440" w:type="dxa"/>
          </w:tcPr>
          <w:p w14:paraId="2A8E0932" w14:textId="77777777" w:rsidR="00433392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Reading</w:t>
            </w:r>
          </w:p>
        </w:tc>
        <w:tc>
          <w:tcPr>
            <w:tcW w:w="1171" w:type="dxa"/>
          </w:tcPr>
          <w:p w14:paraId="26039F1A" w14:textId="77777777" w:rsidR="00433392" w:rsidRDefault="00000000">
            <w:pPr>
              <w:pStyle w:val="TableParagraph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5.5</w:t>
            </w:r>
          </w:p>
        </w:tc>
        <w:tc>
          <w:tcPr>
            <w:tcW w:w="1462" w:type="dxa"/>
          </w:tcPr>
          <w:p w14:paraId="73FB7D69" w14:textId="77777777" w:rsidR="00433392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18</w:t>
            </w:r>
          </w:p>
        </w:tc>
        <w:tc>
          <w:tcPr>
            <w:tcW w:w="943" w:type="dxa"/>
          </w:tcPr>
          <w:p w14:paraId="1207249A" w14:textId="77777777" w:rsidR="0043339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43</w:t>
            </w:r>
          </w:p>
        </w:tc>
      </w:tr>
      <w:tr w:rsidR="00433392" w14:paraId="09B1BF4D" w14:textId="77777777">
        <w:trPr>
          <w:trHeight w:val="357"/>
        </w:trPr>
        <w:tc>
          <w:tcPr>
            <w:tcW w:w="1440" w:type="dxa"/>
          </w:tcPr>
          <w:p w14:paraId="0FAD51B8" w14:textId="77777777" w:rsidR="00433392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Speaking</w:t>
            </w:r>
          </w:p>
        </w:tc>
        <w:tc>
          <w:tcPr>
            <w:tcW w:w="1171" w:type="dxa"/>
          </w:tcPr>
          <w:p w14:paraId="0724C635" w14:textId="77777777" w:rsidR="00433392" w:rsidRDefault="00000000">
            <w:pPr>
              <w:pStyle w:val="TableParagraph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5.5</w:t>
            </w:r>
          </w:p>
        </w:tc>
        <w:tc>
          <w:tcPr>
            <w:tcW w:w="1462" w:type="dxa"/>
          </w:tcPr>
          <w:p w14:paraId="28D481DF" w14:textId="77777777" w:rsidR="00433392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20</w:t>
            </w:r>
          </w:p>
        </w:tc>
        <w:tc>
          <w:tcPr>
            <w:tcW w:w="943" w:type="dxa"/>
          </w:tcPr>
          <w:p w14:paraId="7B871EB3" w14:textId="77777777" w:rsidR="00433392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1F5F"/>
                <w:spacing w:val="-5"/>
                <w:sz w:val="24"/>
              </w:rPr>
              <w:t>43</w:t>
            </w:r>
          </w:p>
        </w:tc>
      </w:tr>
      <w:tr w:rsidR="00433392" w14:paraId="27D36859" w14:textId="77777777">
        <w:trPr>
          <w:trHeight w:val="354"/>
        </w:trPr>
        <w:tc>
          <w:tcPr>
            <w:tcW w:w="1440" w:type="dxa"/>
          </w:tcPr>
          <w:p w14:paraId="0304B3A2" w14:textId="77777777" w:rsidR="00433392" w:rsidRDefault="00000000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pacing w:val="-2"/>
                <w:sz w:val="24"/>
              </w:rPr>
              <w:t>Overall</w:t>
            </w:r>
          </w:p>
        </w:tc>
        <w:tc>
          <w:tcPr>
            <w:tcW w:w="1171" w:type="dxa"/>
          </w:tcPr>
          <w:p w14:paraId="666C0C57" w14:textId="77777777" w:rsidR="00433392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pacing w:val="-5"/>
                <w:sz w:val="24"/>
              </w:rPr>
              <w:t>6.0</w:t>
            </w:r>
          </w:p>
        </w:tc>
        <w:tc>
          <w:tcPr>
            <w:tcW w:w="1462" w:type="dxa"/>
          </w:tcPr>
          <w:p w14:paraId="5A22522D" w14:textId="77777777" w:rsidR="00433392" w:rsidRDefault="00000000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color w:val="001F5F"/>
                <w:spacing w:val="-5"/>
                <w:sz w:val="24"/>
              </w:rPr>
              <w:t>72</w:t>
            </w:r>
          </w:p>
        </w:tc>
        <w:tc>
          <w:tcPr>
            <w:tcW w:w="943" w:type="dxa"/>
          </w:tcPr>
          <w:p w14:paraId="71B780C1" w14:textId="77777777" w:rsidR="00433392" w:rsidRDefault="00000000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color w:val="001F5F"/>
                <w:spacing w:val="-5"/>
                <w:sz w:val="24"/>
              </w:rPr>
              <w:t>50</w:t>
            </w:r>
          </w:p>
        </w:tc>
      </w:tr>
    </w:tbl>
    <w:p w14:paraId="7456D819" w14:textId="77777777" w:rsidR="00433392" w:rsidRDefault="00000000">
      <w:pPr>
        <w:spacing w:before="121"/>
        <w:ind w:left="129" w:right="209"/>
        <w:jc w:val="both"/>
        <w:rPr>
          <w:b/>
          <w:i/>
        </w:rPr>
      </w:pPr>
      <w:r>
        <w:rPr>
          <w:b/>
          <w:i/>
          <w:color w:val="001F5F"/>
        </w:rPr>
        <w:t>Applicants must meet the minimum requirement of the English language proficiency tests shown in this table to qualify to apply.</w:t>
      </w:r>
    </w:p>
    <w:p w14:paraId="42AD3902" w14:textId="77777777" w:rsidR="00433392" w:rsidRDefault="00000000">
      <w:pPr>
        <w:pStyle w:val="BodyText"/>
        <w:spacing w:before="84"/>
        <w:ind w:left="129" w:right="283"/>
      </w:pPr>
      <w:r>
        <w:br w:type="column"/>
      </w:r>
      <w:r>
        <w:rPr>
          <w:color w:val="001F5F"/>
        </w:rPr>
        <w:t>To be accepted into courses at Australian universities, applicants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require TOEFL-iBT overall score of at least 84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(no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band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score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less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than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21)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Academic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score of 58 with no communicative skill score less than 50.</w:t>
      </w:r>
    </w:p>
    <w:p w14:paraId="0A70DA5F" w14:textId="77777777" w:rsidR="00433392" w:rsidRDefault="00000000">
      <w:pPr>
        <w:pStyle w:val="BodyText"/>
        <w:spacing w:before="119"/>
        <w:ind w:left="129" w:right="283"/>
      </w:pPr>
      <w:r>
        <w:rPr>
          <w:b/>
          <w:color w:val="001F5F"/>
        </w:rPr>
        <w:t>Note</w:t>
      </w:r>
      <w:r>
        <w:rPr>
          <w:color w:val="001F5F"/>
        </w:rPr>
        <w:t>: Only IELTS (Academic) scores are accepted for Australia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Awards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applications.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General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IELTS,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TOEFL Test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Home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Edition,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Institutional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TOEFL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scores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are not accepted and submitting these will result in an ineligible application.</w:t>
      </w:r>
    </w:p>
    <w:p w14:paraId="26761D6B" w14:textId="77777777" w:rsidR="00433392" w:rsidRDefault="00000000">
      <w:pPr>
        <w:pStyle w:val="Heading1"/>
        <w:spacing w:before="240"/>
        <w:jc w:val="both"/>
      </w:pPr>
      <w:r>
        <w:rPr>
          <w:color w:val="001F5F"/>
        </w:rPr>
        <w:t>Preparatory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program</w:t>
      </w:r>
    </w:p>
    <w:p w14:paraId="1C536079" w14:textId="77777777" w:rsidR="00433392" w:rsidRDefault="00000000">
      <w:pPr>
        <w:pStyle w:val="BodyText"/>
        <w:spacing w:before="122"/>
        <w:ind w:left="129"/>
      </w:pPr>
      <w:r>
        <w:rPr>
          <w:color w:val="001F5F"/>
        </w:rPr>
        <w:t>Successful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applicants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required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attend:</w:t>
      </w:r>
    </w:p>
    <w:p w14:paraId="45A8CA30" w14:textId="77777777" w:rsidR="00433392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160"/>
      </w:pPr>
      <w:r>
        <w:rPr>
          <w:color w:val="001F5F"/>
        </w:rPr>
        <w:t>English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Language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Training</w:t>
      </w:r>
    </w:p>
    <w:p w14:paraId="7761712B" w14:textId="77777777" w:rsidR="00433392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38"/>
      </w:pPr>
      <w:r>
        <w:rPr>
          <w:color w:val="001F5F"/>
        </w:rPr>
        <w:t>Academic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Preparation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Program</w:t>
      </w:r>
    </w:p>
    <w:p w14:paraId="703F87BD" w14:textId="77777777" w:rsidR="00433392" w:rsidRDefault="00000000">
      <w:pPr>
        <w:pStyle w:val="ListParagraph"/>
        <w:numPr>
          <w:ilvl w:val="0"/>
          <w:numId w:val="1"/>
        </w:numPr>
        <w:tabs>
          <w:tab w:val="left" w:pos="549"/>
        </w:tabs>
      </w:pPr>
      <w:r>
        <w:rPr>
          <w:color w:val="001F5F"/>
        </w:rPr>
        <w:t>Course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counselling</w:t>
      </w:r>
    </w:p>
    <w:p w14:paraId="50474715" w14:textId="77777777" w:rsidR="00433392" w:rsidRDefault="00000000">
      <w:pPr>
        <w:pStyle w:val="ListParagraph"/>
        <w:numPr>
          <w:ilvl w:val="0"/>
          <w:numId w:val="1"/>
        </w:numPr>
        <w:tabs>
          <w:tab w:val="left" w:pos="549"/>
        </w:tabs>
      </w:pPr>
      <w:r>
        <w:rPr>
          <w:color w:val="001F5F"/>
        </w:rPr>
        <w:t>Pre-departure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briefing</w:t>
      </w:r>
    </w:p>
    <w:p w14:paraId="597EE059" w14:textId="77777777" w:rsidR="00433392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40"/>
      </w:pPr>
      <w:r>
        <w:rPr>
          <w:color w:val="001F5F"/>
        </w:rPr>
        <w:t>University’s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Introductory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Academic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Program</w:t>
      </w:r>
    </w:p>
    <w:p w14:paraId="73718980" w14:textId="77777777" w:rsidR="00433392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38" w:line="276" w:lineRule="auto"/>
        <w:ind w:right="112"/>
      </w:pPr>
      <w:r>
        <w:rPr>
          <w:color w:val="001F5F"/>
        </w:rPr>
        <w:t>Other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required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preparatory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study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>arrival</w:t>
      </w:r>
      <w:r>
        <w:rPr>
          <w:color w:val="001F5F"/>
          <w:spacing w:val="80"/>
        </w:rPr>
        <w:t xml:space="preserve"> </w:t>
      </w:r>
      <w:r>
        <w:rPr>
          <w:color w:val="001F5F"/>
        </w:rPr>
        <w:t xml:space="preserve">in </w:t>
      </w:r>
      <w:r>
        <w:rPr>
          <w:color w:val="001F5F"/>
          <w:spacing w:val="-2"/>
        </w:rPr>
        <w:t>Australia.</w:t>
      </w:r>
    </w:p>
    <w:p w14:paraId="65B4E52A" w14:textId="77777777" w:rsidR="00433392" w:rsidRDefault="00000000">
      <w:pPr>
        <w:pStyle w:val="BodyText"/>
        <w:spacing w:before="119" w:line="276" w:lineRule="auto"/>
        <w:ind w:left="189" w:right="115"/>
      </w:pPr>
      <w:r>
        <w:rPr>
          <w:color w:val="001F5F"/>
        </w:rPr>
        <w:t>If selected, provisional awardees will be offered up to six-months of English language training in Mongolia. Provisional awardees who do not achieve IELTS 6.5 or equivalent by the end of the English language training will forfeit their scholarship.</w:t>
      </w:r>
    </w:p>
    <w:p w14:paraId="67C86B39" w14:textId="77777777" w:rsidR="00433392" w:rsidRDefault="00000000">
      <w:pPr>
        <w:pStyle w:val="BodyText"/>
        <w:spacing w:line="278" w:lineRule="auto"/>
        <w:ind w:left="189" w:right="116"/>
      </w:pPr>
      <w:r>
        <w:rPr>
          <w:color w:val="001F5F"/>
        </w:rPr>
        <w:t>This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training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prepares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candidates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sit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English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language examination during or at the end of the training.</w:t>
      </w:r>
    </w:p>
    <w:p w14:paraId="0EC66A4A" w14:textId="77777777" w:rsidR="00433392" w:rsidRDefault="00000000">
      <w:pPr>
        <w:pStyle w:val="BodyText"/>
        <w:spacing w:before="116" w:line="276" w:lineRule="auto"/>
        <w:ind w:left="189" w:right="117"/>
      </w:pPr>
      <w:r>
        <w:rPr>
          <w:color w:val="001F5F"/>
        </w:rPr>
        <w:t xml:space="preserve">All successful awardees will be required to complete an Academic Preparation Program in Mongolia before </w:t>
      </w:r>
      <w:proofErr w:type="spellStart"/>
      <w:r>
        <w:rPr>
          <w:color w:val="001F5F"/>
          <w:spacing w:val="-2"/>
        </w:rPr>
        <w:t>mobilisation</w:t>
      </w:r>
      <w:proofErr w:type="spellEnd"/>
      <w:r>
        <w:rPr>
          <w:color w:val="001F5F"/>
          <w:spacing w:val="-2"/>
        </w:rPr>
        <w:t>.</w:t>
      </w:r>
    </w:p>
    <w:p w14:paraId="6CE840AB" w14:textId="77777777" w:rsidR="00433392" w:rsidRDefault="00000000">
      <w:pPr>
        <w:pStyle w:val="BodyText"/>
        <w:spacing w:before="119" w:line="276" w:lineRule="auto"/>
        <w:ind w:left="189" w:right="114"/>
      </w:pPr>
      <w:r>
        <w:rPr>
          <w:b/>
          <w:color w:val="001F5F"/>
        </w:rPr>
        <w:t>Note</w:t>
      </w:r>
      <w:r>
        <w:rPr>
          <w:color w:val="001F5F"/>
        </w:rPr>
        <w:t>: English language testing is conducted in Ulaanbaatar by commercial entities not aligned to the Australia Awards - Mongolia program.</w:t>
      </w:r>
    </w:p>
    <w:sectPr w:rsidR="00433392">
      <w:type w:val="continuous"/>
      <w:pgSz w:w="11910" w:h="16840"/>
      <w:pgMar w:top="800" w:right="560" w:bottom="280" w:left="720" w:header="720" w:footer="720" w:gutter="0"/>
      <w:cols w:num="2" w:space="720" w:equalWidth="0">
        <w:col w:w="5204" w:space="145"/>
        <w:col w:w="52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5FD"/>
    <w:multiLevelType w:val="hybridMultilevel"/>
    <w:tmpl w:val="7504922A"/>
    <w:lvl w:ilvl="0" w:tplc="BF06CF36">
      <w:numFmt w:val="bullet"/>
      <w:lvlText w:val="•"/>
      <w:lvlJc w:val="left"/>
      <w:pPr>
        <w:ind w:left="5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100"/>
        <w:sz w:val="22"/>
        <w:szCs w:val="22"/>
        <w:lang w:val="en-US" w:eastAsia="en-US" w:bidi="ar-SA"/>
      </w:rPr>
    </w:lvl>
    <w:lvl w:ilvl="1" w:tplc="C844892E">
      <w:numFmt w:val="bullet"/>
      <w:lvlText w:val="•"/>
      <w:lvlJc w:val="left"/>
      <w:pPr>
        <w:ind w:left="1013" w:hanging="360"/>
      </w:pPr>
      <w:rPr>
        <w:rFonts w:hint="default"/>
        <w:lang w:val="en-US" w:eastAsia="en-US" w:bidi="ar-SA"/>
      </w:rPr>
    </w:lvl>
    <w:lvl w:ilvl="2" w:tplc="31E21CBC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3" w:tplc="A6C8B4C2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4" w:tplc="F15C09A8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5" w:tplc="BC16261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6" w:tplc="44EA28C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7" w:tplc="95C8B454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8" w:tplc="7F60070A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</w:abstractNum>
  <w:num w:numId="1" w16cid:durableId="10997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92"/>
    <w:rsid w:val="00433392"/>
    <w:rsid w:val="005E2FB1"/>
    <w:rsid w:val="00787AB1"/>
    <w:rsid w:val="009F383E"/>
    <w:rsid w:val="00A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E112D"/>
  <w15:docId w15:val="{C5385B09-B319-45EF-A4AE-DDF4E4D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0"/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49"/>
      <w:jc w:val="both"/>
    </w:pPr>
  </w:style>
  <w:style w:type="paragraph" w:styleId="Title">
    <w:name w:val="Title"/>
    <w:basedOn w:val="Normal"/>
    <w:uiPriority w:val="10"/>
    <w:qFormat/>
    <w:pPr>
      <w:spacing w:before="13"/>
      <w:ind w:left="269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7"/>
      <w:ind w:left="549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fat.gov.au/sites/default/files/aus-awards-scholarships-policy-handbook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2768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Tserendagva, Baasanjargal</dc:creator>
  <cp:lastModifiedBy>Tserendagva, Baasanjargal</cp:lastModifiedBy>
  <cp:revision>2</cp:revision>
  <dcterms:created xsi:type="dcterms:W3CDTF">2024-01-17T05:14:00Z</dcterms:created>
  <dcterms:modified xsi:type="dcterms:W3CDTF">2024-01-17T05:14:00Z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  <property fmtid="{D5CDD505-2E9C-101B-9397-08002B2CF9AE}" pid="3" name="Producer">
    <vt:lpwstr>3-Heights(TM) PDF Security Shell 4.8.25.2 (http://www.pdf-tools.com)</vt:lpwstr>
  </property>
  <property fmtid="{D5CDD505-2E9C-101B-9397-08002B2CF9AE}" pid="4" name="GrammarlyDocumentId">
    <vt:lpwstr>56bd439738128c6ebabb028f818543dcad29b7c2613b03acef91726cdf569120</vt:lpwstr>
  </property>
</Properties>
</file>