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3805" w14:textId="26536DC3" w:rsidR="00DB4BF4" w:rsidRPr="004300B0" w:rsidRDefault="00DB4731">
      <w:pPr>
        <w:spacing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00B0">
        <w:rPr>
          <w:rFonts w:ascii="Times New Roman" w:hAnsi="Times New Roman" w:cs="Times New Roman"/>
          <w:b/>
          <w:sz w:val="28"/>
          <w:szCs w:val="28"/>
        </w:rPr>
        <w:t>Australia Awards</w:t>
      </w:r>
      <w:r w:rsidR="004300B0" w:rsidRPr="004300B0">
        <w:rPr>
          <w:rFonts w:ascii="Times New Roman" w:hAnsi="Times New Roman" w:cs="Times New Roman"/>
          <w:b/>
          <w:sz w:val="28"/>
          <w:szCs w:val="28"/>
        </w:rPr>
        <w:t xml:space="preserve"> Scholarships for study commencing in 2022</w:t>
      </w:r>
      <w:r w:rsidR="00832ECB">
        <w:rPr>
          <w:rFonts w:ascii="Times New Roman" w:hAnsi="Times New Roman" w:cs="Times New Roman"/>
          <w:b/>
          <w:sz w:val="28"/>
          <w:szCs w:val="28"/>
        </w:rPr>
        <w:t xml:space="preserve"> - e</w:t>
      </w:r>
      <w:r w:rsidRPr="004300B0">
        <w:rPr>
          <w:rFonts w:ascii="Times New Roman" w:hAnsi="Times New Roman" w:cs="Times New Roman"/>
          <w:b/>
          <w:sz w:val="28"/>
          <w:szCs w:val="28"/>
        </w:rPr>
        <w:t xml:space="preserve">ligibility </w:t>
      </w:r>
      <w:r w:rsidR="00832ECB">
        <w:rPr>
          <w:rFonts w:ascii="Times New Roman" w:hAnsi="Times New Roman" w:cs="Times New Roman"/>
          <w:b/>
          <w:sz w:val="28"/>
          <w:szCs w:val="28"/>
        </w:rPr>
        <w:t>c</w:t>
      </w:r>
      <w:r w:rsidRPr="004300B0">
        <w:rPr>
          <w:rFonts w:ascii="Times New Roman" w:hAnsi="Times New Roman" w:cs="Times New Roman"/>
          <w:b/>
          <w:sz w:val="28"/>
          <w:szCs w:val="28"/>
        </w:rPr>
        <w:t>hecklist</w:t>
      </w:r>
    </w:p>
    <w:p w14:paraId="280104D7" w14:textId="04EA4FAA" w:rsidR="00DB4BF4" w:rsidRPr="004300B0" w:rsidRDefault="00DB4BF4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236A98" w14:textId="78A38F4F" w:rsidR="00DB4BF4" w:rsidRPr="004300B0" w:rsidRDefault="00CF0D96">
      <w:pPr>
        <w:ind w:left="-5"/>
        <w:rPr>
          <w:rFonts w:ascii="Times New Roman" w:hAnsi="Times New Roman" w:cs="Times New Roman"/>
          <w:sz w:val="24"/>
          <w:szCs w:val="24"/>
        </w:rPr>
      </w:pPr>
      <w:r w:rsidRPr="004300B0">
        <w:rPr>
          <w:rFonts w:ascii="Times New Roman" w:hAnsi="Times New Roman" w:cs="Times New Roman"/>
          <w:sz w:val="24"/>
          <w:szCs w:val="24"/>
        </w:rPr>
        <w:t>Before commencing an application</w:t>
      </w:r>
      <w:r w:rsidR="004300B0">
        <w:rPr>
          <w:rFonts w:ascii="Times New Roman" w:hAnsi="Times New Roman" w:cs="Times New Roman"/>
          <w:sz w:val="24"/>
          <w:szCs w:val="24"/>
        </w:rPr>
        <w:t xml:space="preserve"> in</w:t>
      </w:r>
      <w:hyperlink r:id="rId5" w:history="1">
        <w:r w:rsidR="004300B0" w:rsidRPr="00E933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OASIS</w:t>
        </w:r>
      </w:hyperlink>
      <w:r w:rsidRPr="004300B0">
        <w:rPr>
          <w:rFonts w:ascii="Times New Roman" w:hAnsi="Times New Roman" w:cs="Times New Roman"/>
          <w:sz w:val="24"/>
          <w:szCs w:val="24"/>
        </w:rPr>
        <w:t xml:space="preserve">, </w:t>
      </w:r>
      <w:r w:rsidR="004300B0">
        <w:rPr>
          <w:rFonts w:ascii="Times New Roman" w:hAnsi="Times New Roman" w:cs="Times New Roman"/>
          <w:sz w:val="24"/>
          <w:szCs w:val="24"/>
        </w:rPr>
        <w:t>a</w:t>
      </w:r>
      <w:r w:rsidR="00DB4731" w:rsidRPr="004300B0">
        <w:rPr>
          <w:rFonts w:ascii="Times New Roman" w:hAnsi="Times New Roman" w:cs="Times New Roman"/>
          <w:sz w:val="24"/>
          <w:szCs w:val="24"/>
        </w:rPr>
        <w:t xml:space="preserve">pplicants from Mongolia are encouraged to use this checklist to determine whether they satisfy </w:t>
      </w:r>
      <w:r w:rsidR="004300B0">
        <w:rPr>
          <w:rFonts w:ascii="Times New Roman" w:hAnsi="Times New Roman" w:cs="Times New Roman"/>
          <w:sz w:val="24"/>
          <w:szCs w:val="24"/>
        </w:rPr>
        <w:t xml:space="preserve">the </w:t>
      </w:r>
      <w:r w:rsidR="00DB4731" w:rsidRPr="004300B0">
        <w:rPr>
          <w:rFonts w:ascii="Times New Roman" w:hAnsi="Times New Roman" w:cs="Times New Roman"/>
          <w:sz w:val="24"/>
          <w:szCs w:val="24"/>
        </w:rPr>
        <w:t>eligibility criteria for an Australia Award</w:t>
      </w:r>
      <w:r w:rsidR="0043497A" w:rsidRPr="004300B0">
        <w:rPr>
          <w:rFonts w:ascii="Times New Roman" w:hAnsi="Times New Roman" w:cs="Times New Roman"/>
          <w:sz w:val="24"/>
          <w:szCs w:val="24"/>
        </w:rPr>
        <w:t>s</w:t>
      </w:r>
      <w:r w:rsidR="004300B0">
        <w:rPr>
          <w:rFonts w:ascii="Times New Roman" w:hAnsi="Times New Roman" w:cs="Times New Roman"/>
          <w:sz w:val="24"/>
          <w:szCs w:val="24"/>
        </w:rPr>
        <w:t xml:space="preserve"> Scholarship for study commencing in 2022</w:t>
      </w:r>
      <w:r w:rsidR="00DB4731" w:rsidRPr="004300B0">
        <w:rPr>
          <w:rFonts w:ascii="Times New Roman" w:hAnsi="Times New Roman" w:cs="Times New Roman"/>
          <w:sz w:val="24"/>
          <w:szCs w:val="24"/>
        </w:rPr>
        <w:t>.</w:t>
      </w:r>
    </w:p>
    <w:p w14:paraId="4BBD35CA" w14:textId="06529B70" w:rsidR="00DB4BF4" w:rsidRPr="004300B0" w:rsidRDefault="00DB4BF4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C567CA" w14:textId="373C86FE" w:rsidR="00DB4BF4" w:rsidRPr="004300B0" w:rsidRDefault="00DB4731">
      <w:pPr>
        <w:ind w:left="-5"/>
        <w:rPr>
          <w:rFonts w:ascii="Times New Roman" w:hAnsi="Times New Roman" w:cs="Times New Roman"/>
          <w:sz w:val="24"/>
          <w:szCs w:val="24"/>
        </w:rPr>
      </w:pPr>
      <w:r w:rsidRPr="004300B0">
        <w:rPr>
          <w:rFonts w:ascii="Times New Roman" w:hAnsi="Times New Roman" w:cs="Times New Roman"/>
          <w:sz w:val="24"/>
          <w:szCs w:val="24"/>
        </w:rPr>
        <w:t>This checklist is a guide only</w:t>
      </w:r>
      <w:r w:rsidR="00CF0D96" w:rsidRPr="004300B0">
        <w:rPr>
          <w:rFonts w:ascii="Times New Roman" w:hAnsi="Times New Roman" w:cs="Times New Roman"/>
          <w:sz w:val="24"/>
          <w:szCs w:val="24"/>
        </w:rPr>
        <w:t>. I</w:t>
      </w:r>
      <w:r w:rsidRPr="004300B0">
        <w:rPr>
          <w:rFonts w:ascii="Times New Roman" w:hAnsi="Times New Roman" w:cs="Times New Roman"/>
          <w:sz w:val="24"/>
          <w:szCs w:val="24"/>
        </w:rPr>
        <w:t xml:space="preserve">t is not exhaustive and must be read in conjunction with the </w:t>
      </w:r>
      <w:hyperlink r:id="rId6" w:history="1">
        <w:r w:rsidR="004300B0" w:rsidRPr="004455EE">
          <w:rPr>
            <w:rStyle w:val="Hyperlink"/>
            <w:rFonts w:ascii="Times New Roman" w:hAnsi="Times New Roman" w:cs="Times New Roman"/>
            <w:sz w:val="24"/>
            <w:szCs w:val="24"/>
          </w:rPr>
          <w:t>Australia Awards Scholarship</w:t>
        </w:r>
        <w:r w:rsidR="00832ECB" w:rsidRPr="004455EE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4300B0" w:rsidRPr="004455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4455E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Country Profile </w:t>
        </w:r>
        <w:r w:rsidR="004300B0" w:rsidRPr="004455EE">
          <w:rPr>
            <w:rStyle w:val="Hyperlink"/>
            <w:rFonts w:ascii="Times New Roman" w:hAnsi="Times New Roman" w:cs="Times New Roman"/>
            <w:sz w:val="24"/>
            <w:szCs w:val="24"/>
          </w:rPr>
          <w:t>for Mongolia for study commencing in 2022</w:t>
        </w:r>
      </w:hyperlink>
      <w:r w:rsidR="004300B0">
        <w:rPr>
          <w:rFonts w:ascii="Times New Roman" w:hAnsi="Times New Roman" w:cs="Times New Roman"/>
          <w:sz w:val="24"/>
          <w:szCs w:val="24"/>
        </w:rPr>
        <w:t xml:space="preserve">, </w:t>
      </w:r>
      <w:r w:rsidRPr="004300B0">
        <w:rPr>
          <w:rFonts w:ascii="Times New Roman" w:hAnsi="Times New Roman" w:cs="Times New Roman"/>
          <w:sz w:val="24"/>
          <w:szCs w:val="24"/>
        </w:rPr>
        <w:t xml:space="preserve">and the </w:t>
      </w:r>
      <w:hyperlink r:id="rId7" w:history="1">
        <w:r w:rsidRPr="00E933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Australia Awards Scholarships Policy Handbook</w:t>
        </w:r>
      </w:hyperlink>
      <w:r w:rsidRPr="004300B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00B0">
        <w:rPr>
          <w:rFonts w:ascii="Times New Roman" w:hAnsi="Times New Roman" w:cs="Times New Roman"/>
          <w:sz w:val="24"/>
          <w:szCs w:val="24"/>
        </w:rPr>
        <w:t>Further i</w:t>
      </w:r>
      <w:r w:rsidRPr="004300B0">
        <w:rPr>
          <w:rFonts w:ascii="Times New Roman" w:hAnsi="Times New Roman" w:cs="Times New Roman"/>
          <w:sz w:val="24"/>
          <w:szCs w:val="24"/>
        </w:rPr>
        <w:t xml:space="preserve">nformation is available at: </w:t>
      </w:r>
      <w:hyperlink r:id="rId8">
        <w:r w:rsidRPr="004300B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http://australiaawardsmongolia.org</w:t>
        </w:r>
      </w:hyperlink>
    </w:p>
    <w:p w14:paraId="142B8F52" w14:textId="5706028C" w:rsidR="00DB4BF4" w:rsidRPr="004300B0" w:rsidRDefault="00DB4BF4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25F595" w14:textId="75198F1D" w:rsidR="00DB4BF4" w:rsidRPr="004300B0" w:rsidRDefault="00DB4731">
      <w:pPr>
        <w:ind w:left="-5"/>
        <w:rPr>
          <w:rFonts w:ascii="Times New Roman" w:hAnsi="Times New Roman" w:cs="Times New Roman"/>
          <w:sz w:val="24"/>
          <w:szCs w:val="24"/>
        </w:rPr>
      </w:pPr>
      <w:r w:rsidRPr="004300B0">
        <w:rPr>
          <w:rFonts w:ascii="Times New Roman" w:hAnsi="Times New Roman" w:cs="Times New Roman"/>
          <w:sz w:val="24"/>
          <w:szCs w:val="24"/>
        </w:rPr>
        <w:t xml:space="preserve">Australia Awards </w:t>
      </w:r>
      <w:r w:rsidR="004300B0">
        <w:rPr>
          <w:rFonts w:ascii="Times New Roman" w:hAnsi="Times New Roman" w:cs="Times New Roman"/>
          <w:sz w:val="24"/>
          <w:szCs w:val="24"/>
        </w:rPr>
        <w:t>Scholarship</w:t>
      </w:r>
      <w:r w:rsidR="00832ECB">
        <w:rPr>
          <w:rFonts w:ascii="Times New Roman" w:hAnsi="Times New Roman" w:cs="Times New Roman"/>
          <w:sz w:val="24"/>
          <w:szCs w:val="24"/>
        </w:rPr>
        <w:t>s</w:t>
      </w:r>
      <w:r w:rsidR="004300B0">
        <w:rPr>
          <w:rFonts w:ascii="Times New Roman" w:hAnsi="Times New Roman" w:cs="Times New Roman"/>
          <w:sz w:val="24"/>
          <w:szCs w:val="24"/>
        </w:rPr>
        <w:t xml:space="preserve"> </w:t>
      </w:r>
      <w:r w:rsidRPr="004300B0">
        <w:rPr>
          <w:rFonts w:ascii="Times New Roman" w:hAnsi="Times New Roman" w:cs="Times New Roman"/>
          <w:sz w:val="24"/>
          <w:szCs w:val="24"/>
        </w:rPr>
        <w:t xml:space="preserve">will only be offered </w:t>
      </w:r>
      <w:r w:rsidR="004300B0">
        <w:rPr>
          <w:rFonts w:ascii="Times New Roman" w:hAnsi="Times New Roman" w:cs="Times New Roman"/>
          <w:sz w:val="24"/>
          <w:szCs w:val="24"/>
        </w:rPr>
        <w:t>to eligible applicants</w:t>
      </w:r>
      <w:r w:rsidRPr="004300B0">
        <w:rPr>
          <w:rFonts w:ascii="Times New Roman" w:hAnsi="Times New Roman" w:cs="Times New Roman"/>
          <w:sz w:val="24"/>
          <w:szCs w:val="24"/>
        </w:rPr>
        <w:t xml:space="preserve"> who apply in the prescribed manner and are selected through the formal selection process. For more details about </w:t>
      </w:r>
      <w:r w:rsidR="004300B0">
        <w:rPr>
          <w:rFonts w:ascii="Times New Roman" w:hAnsi="Times New Roman" w:cs="Times New Roman"/>
          <w:sz w:val="24"/>
          <w:szCs w:val="24"/>
        </w:rPr>
        <w:t xml:space="preserve">the </w:t>
      </w:r>
      <w:r w:rsidRPr="004300B0">
        <w:rPr>
          <w:rFonts w:ascii="Times New Roman" w:hAnsi="Times New Roman" w:cs="Times New Roman"/>
          <w:sz w:val="24"/>
          <w:szCs w:val="24"/>
        </w:rPr>
        <w:t xml:space="preserve">application and selection processes, entitlements and conditions of </w:t>
      </w:r>
      <w:r w:rsidR="004300B0">
        <w:rPr>
          <w:rFonts w:ascii="Times New Roman" w:hAnsi="Times New Roman" w:cs="Times New Roman"/>
          <w:sz w:val="24"/>
          <w:szCs w:val="24"/>
        </w:rPr>
        <w:t>Australia Awards Scholarship</w:t>
      </w:r>
      <w:r w:rsidR="00832ECB">
        <w:rPr>
          <w:rFonts w:ascii="Times New Roman" w:hAnsi="Times New Roman" w:cs="Times New Roman"/>
          <w:sz w:val="24"/>
          <w:szCs w:val="24"/>
        </w:rPr>
        <w:t>s</w:t>
      </w:r>
      <w:r w:rsidR="004300B0">
        <w:rPr>
          <w:rFonts w:ascii="Times New Roman" w:hAnsi="Times New Roman" w:cs="Times New Roman"/>
          <w:sz w:val="24"/>
          <w:szCs w:val="24"/>
        </w:rPr>
        <w:t xml:space="preserve"> please </w:t>
      </w:r>
      <w:r w:rsidRPr="004300B0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9">
        <w:r w:rsidRPr="004300B0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http://australiaawardsmongolia.org</w:t>
        </w:r>
      </w:hyperlink>
      <w:hyperlink r:id="rId10">
        <w:r w:rsidRPr="004300B0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3843C481" w14:textId="103EE27D" w:rsidR="00DB4BF4" w:rsidRPr="004300B0" w:rsidRDefault="00DB4BF4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20" w:type="dxa"/>
        <w:tblInd w:w="-103" w:type="dxa"/>
        <w:tblCellMar>
          <w:top w:w="2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6199"/>
        <w:gridCol w:w="2551"/>
        <w:gridCol w:w="5670"/>
      </w:tblGrid>
      <w:tr w:rsidR="00DB4BF4" w:rsidRPr="004300B0" w14:paraId="1ED409DB" w14:textId="77777777" w:rsidTr="005C0A09">
        <w:trPr>
          <w:trHeight w:val="234"/>
          <w:tblHeader/>
        </w:trPr>
        <w:tc>
          <w:tcPr>
            <w:tcW w:w="6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1F497D"/>
          </w:tcPr>
          <w:p w14:paraId="1AD64B54" w14:textId="77777777" w:rsidR="00DB4BF4" w:rsidRPr="004300B0" w:rsidRDefault="00DB4731" w:rsidP="004300B0">
            <w:pPr>
              <w:spacing w:before="120" w:after="120" w:line="259" w:lineRule="auto"/>
              <w:ind w:left="0" w:righ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Criterion</w:t>
            </w:r>
            <w:r w:rsidRPr="004300B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1F497D"/>
          </w:tcPr>
          <w:p w14:paraId="2A148D6A" w14:textId="77777777" w:rsidR="00DB4BF4" w:rsidRPr="004300B0" w:rsidRDefault="00DB4731" w:rsidP="004300B0">
            <w:pPr>
              <w:spacing w:before="120" w:after="120" w:line="259" w:lineRule="auto"/>
              <w:ind w:left="0" w:right="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Your response</w:t>
            </w:r>
            <w:r w:rsidRPr="004300B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1F497D"/>
          </w:tcPr>
          <w:p w14:paraId="7181E250" w14:textId="77777777" w:rsidR="00DB4BF4" w:rsidRPr="004300B0" w:rsidRDefault="00DB4731" w:rsidP="004300B0">
            <w:pPr>
              <w:spacing w:before="120" w:after="12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Note</w:t>
            </w:r>
            <w:r w:rsidRPr="004300B0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DB4BF4" w:rsidRPr="004300B0" w14:paraId="68E11229" w14:textId="77777777" w:rsidTr="005C0A09">
        <w:trPr>
          <w:trHeight w:val="472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486" w14:textId="6522C04E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Q1: Are you over 18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years of age?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7FAD6" w14:textId="6A25A370" w:rsidR="00DB4BF4" w:rsidRPr="004300B0" w:rsidRDefault="00DB4731" w:rsidP="004300B0">
            <w:pPr>
              <w:spacing w:before="120" w:line="259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ontinue to Q2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EBBA2" w14:textId="77777777" w:rsidR="00DB4BF4" w:rsidRPr="004300B0" w:rsidRDefault="00DB4BF4" w:rsidP="004300B0">
            <w:pPr>
              <w:spacing w:before="120"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4" w:rsidRPr="004300B0" w14:paraId="0EBE1862" w14:textId="77777777" w:rsidTr="005C0A09">
        <w:trPr>
          <w:trHeight w:val="47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A6B5" w14:textId="6A6250E9" w:rsidR="00DB4BF4" w:rsidRPr="004300B0" w:rsidRDefault="00DB4731" w:rsidP="004300B0">
            <w:pPr>
              <w:spacing w:before="120" w:line="259" w:lineRule="auto"/>
              <w:ind w:left="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Q2: Are you a citizen of Mongolia and currently residing in and applying from Mongolia?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323D" w14:textId="23C2A9D1" w:rsidR="00DB4BF4" w:rsidRPr="004300B0" w:rsidRDefault="00DB4731" w:rsidP="004300B0">
            <w:pPr>
              <w:spacing w:before="120" w:line="259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ontinue to Q3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28BF" w14:textId="4EE33A64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Applicants on overseas diplomatic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 or other government postings are considered 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to be 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 in Mongolia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 xml:space="preserve"> for the purpose of this application</w:t>
            </w:r>
          </w:p>
        </w:tc>
      </w:tr>
      <w:tr w:rsidR="00DB4BF4" w:rsidRPr="004300B0" w14:paraId="50559A12" w14:textId="77777777" w:rsidTr="005C0A09">
        <w:trPr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17C8" w14:textId="0CDE3A6D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Q3: Are you married to, engaged to, or a de facto of a person who holds, or is eligible to hold, Australian or New Zealand citizenship or permanent residency?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F25A0" w14:textId="4D8244EC" w:rsidR="00DB4BF4" w:rsidRPr="004300B0" w:rsidRDefault="00DB4731" w:rsidP="004300B0">
            <w:pPr>
              <w:spacing w:before="12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ou are ineligible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ontinue to Q4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36063" w14:textId="77777777" w:rsidR="00DB4BF4" w:rsidRPr="004300B0" w:rsidRDefault="00DB4BF4" w:rsidP="004300B0">
            <w:pPr>
              <w:spacing w:before="120"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4" w:rsidRPr="004300B0" w14:paraId="5FE3992B" w14:textId="77777777" w:rsidTr="005C0A09">
        <w:trPr>
          <w:trHeight w:val="46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1C9" w14:textId="38759496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Q4: Are you applying for a visa to live in Australia?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E36A2" w14:textId="27F089C9" w:rsidR="00DB4BF4" w:rsidRPr="004300B0" w:rsidRDefault="00CF0D96" w:rsidP="004300B0">
            <w:pPr>
              <w:spacing w:before="12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Y</w:t>
            </w:r>
            <w:r w:rsidR="00DB4731" w:rsidRPr="004300B0">
              <w:rPr>
                <w:rFonts w:ascii="Times New Roman" w:hAnsi="Times New Roman" w:cs="Times New Roman"/>
                <w:sz w:val="24"/>
                <w:szCs w:val="24"/>
              </w:rPr>
              <w:t>ou are ineligible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4731" w:rsidRPr="00430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="00DB4731" w:rsidRPr="004300B0">
              <w:rPr>
                <w:rFonts w:ascii="Times New Roman" w:hAnsi="Times New Roman" w:cs="Times New Roman"/>
                <w:sz w:val="24"/>
                <w:szCs w:val="24"/>
              </w:rPr>
              <w:t>ontinue to Q5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2E68E" w14:textId="77777777" w:rsidR="00DB4BF4" w:rsidRPr="004300B0" w:rsidRDefault="00DB4BF4" w:rsidP="004300B0">
            <w:pPr>
              <w:spacing w:before="120"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4" w:rsidRPr="004300B0" w14:paraId="30518518" w14:textId="77777777" w:rsidTr="005C0A09">
        <w:trPr>
          <w:trHeight w:val="47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00AE" w14:textId="458334F6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Q5: Are you currently serving with the Mongolian military?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E8EE" w14:textId="0DD1BBF1" w:rsidR="00DB4BF4" w:rsidRPr="004300B0" w:rsidRDefault="00DB4731" w:rsidP="004300B0">
            <w:pPr>
              <w:spacing w:before="12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ou are ineligible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ontinue to Q6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C481" w14:textId="707DE54B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This can be any branch of the military</w:t>
            </w:r>
          </w:p>
        </w:tc>
      </w:tr>
      <w:tr w:rsidR="00DB4BF4" w:rsidRPr="004300B0" w14:paraId="4AF7166D" w14:textId="77777777" w:rsidTr="005C0A09">
        <w:trPr>
          <w:trHeight w:val="47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C9DA" w14:textId="08FFA0DB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Q6: Do you currently have a qualification equivalent to an Australian Bachelor’s degree?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BC2" w14:textId="4004FF0D" w:rsidR="00DB4BF4" w:rsidRPr="004300B0" w:rsidRDefault="00DB4731" w:rsidP="004300B0">
            <w:pPr>
              <w:spacing w:before="120" w:line="259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ontinue to Q7 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>. Y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69F7" w14:textId="222AB98C" w:rsidR="00DB4BF4" w:rsidRPr="004300B0" w:rsidRDefault="00DB4731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Please contact the Australia Awards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D96"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Mongolia 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ffice if you are unsure</w:t>
            </w:r>
          </w:p>
        </w:tc>
      </w:tr>
      <w:tr w:rsidR="00E91A8B" w:rsidRPr="004300B0" w14:paraId="38B0BAC3" w14:textId="77777777" w:rsidTr="005C0A09">
        <w:trPr>
          <w:trHeight w:val="47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CC68" w14:textId="446ED69F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Q7: Do you have a Bachelor’s degree from Mongolian university with 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GPA 3.0?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DA5" w14:textId="627C721D" w:rsidR="00E91A8B" w:rsidRPr="004300B0" w:rsidRDefault="00E91A8B" w:rsidP="004300B0">
            <w:pPr>
              <w:spacing w:before="120" w:line="259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Q8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0F1" w14:textId="5B32BDF1" w:rsidR="00E91A8B" w:rsidRPr="004300B0" w:rsidRDefault="00DB3323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Bachelor’s degrees</w:t>
            </w:r>
            <w:r w:rsidR="002865FE"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 from other countries must be </w:t>
            </w:r>
            <w:proofErr w:type="spellStart"/>
            <w:r w:rsidR="002865FE" w:rsidRPr="004300B0">
              <w:rPr>
                <w:rFonts w:ascii="Times New Roman" w:hAnsi="Times New Roman" w:cs="Times New Roman"/>
                <w:sz w:val="24"/>
                <w:szCs w:val="24"/>
              </w:rPr>
              <w:t>recognised</w:t>
            </w:r>
            <w:proofErr w:type="spellEnd"/>
            <w:r w:rsidR="002865FE"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 by Australian universities</w:t>
            </w:r>
          </w:p>
        </w:tc>
      </w:tr>
      <w:tr w:rsidR="00E91A8B" w:rsidRPr="004300B0" w14:paraId="4F1E29E9" w14:textId="77777777" w:rsidTr="005C0A09">
        <w:trPr>
          <w:trHeight w:val="47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03E" w14:textId="5101A450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Q8: Have you previously received a </w:t>
            </w:r>
            <w:r w:rsidR="007D2976" w:rsidRPr="004300B0">
              <w:rPr>
                <w:rFonts w:ascii="Times New Roman" w:hAnsi="Times New Roman" w:cs="Times New Roman"/>
                <w:sz w:val="24"/>
                <w:szCs w:val="24"/>
              </w:rPr>
              <w:t>long-term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 Australia Award?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3B54" w14:textId="52424FF7" w:rsidR="00E91A8B" w:rsidRPr="004300B0" w:rsidRDefault="00E91A8B" w:rsidP="004300B0">
            <w:pPr>
              <w:spacing w:before="120" w:line="259" w:lineRule="auto"/>
              <w:ind w:left="0"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Q9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Continue to Q10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C249" w14:textId="13162832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This includes Australia Awards Scholarships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 Endeavour Scholarships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, ACIAR Fellowships</w:t>
            </w:r>
          </w:p>
        </w:tc>
      </w:tr>
      <w:tr w:rsidR="00E91A8B" w:rsidRPr="004300B0" w14:paraId="1B42288E" w14:textId="77777777" w:rsidTr="005C0A09">
        <w:trPr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9CBF" w14:textId="6BBE8623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Q9: Have you lived outside Australia for double the duration you were 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 xml:space="preserve">living 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in Australia for a previous Australia Award?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21B5" w14:textId="5C911854" w:rsidR="00E91A8B" w:rsidRPr="004300B0" w:rsidRDefault="00E91A8B" w:rsidP="004300B0">
            <w:pPr>
              <w:spacing w:before="120" w:line="259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Q10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D9D3" w14:textId="28911933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For example, if you accepted an 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Award for a two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year Master’s degree, you cannot apply again until you have been outside Australia for at least four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E91A8B" w:rsidRPr="004300B0" w14:paraId="09A483A7" w14:textId="77777777" w:rsidTr="005C0A09">
        <w:trPr>
          <w:trHeight w:val="47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8C34" w14:textId="6C3D1514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Q10: Does your proposed course fall within one of 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t xml:space="preserve">the priority fields of study for 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Mongolia?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7EB6" w14:textId="41B0DC47" w:rsidR="00E91A8B" w:rsidRPr="004300B0" w:rsidRDefault="00E91A8B" w:rsidP="004300B0">
            <w:pPr>
              <w:spacing w:before="120" w:line="259" w:lineRule="auto"/>
              <w:ind w:left="0"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Q11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BB1A" w14:textId="37B2927A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You may be eligible if you select a different course</w:t>
            </w:r>
          </w:p>
        </w:tc>
      </w:tr>
      <w:tr w:rsidR="00E91A8B" w:rsidRPr="004300B0" w14:paraId="4E2234F9" w14:textId="77777777" w:rsidTr="005C0A09">
        <w:trPr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ED67" w14:textId="363EEE4D" w:rsidR="00E91A8B" w:rsidRPr="004300B0" w:rsidRDefault="00E91A8B" w:rsidP="004300B0">
            <w:pPr>
              <w:spacing w:before="120" w:line="241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Q11: Do you have a disability that will be declared in your application, and can be verified by a medical </w:t>
            </w:r>
            <w:r w:rsidR="004300B0" w:rsidRPr="004300B0">
              <w:rPr>
                <w:rFonts w:ascii="Times New Roman" w:hAnsi="Times New Roman" w:cs="Times New Roman"/>
                <w:sz w:val="24"/>
                <w:szCs w:val="24"/>
              </w:rPr>
              <w:t>practitioner</w:t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67A6" w14:textId="2CBFA171" w:rsidR="00E91A8B" w:rsidRPr="004300B0" w:rsidRDefault="00E91A8B" w:rsidP="004300B0">
            <w:pPr>
              <w:spacing w:before="120" w:line="259" w:lineRule="auto"/>
              <w:ind w:left="0"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Q14</w:t>
            </w:r>
            <w:r w:rsidR="004300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 xml:space="preserve">No. Continue to Q12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656" w14:textId="449B3530" w:rsidR="00E91A8B" w:rsidRPr="004300B0" w:rsidRDefault="00832ECB" w:rsidP="00832ECB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ECB">
              <w:rPr>
                <w:rFonts w:ascii="Times New Roman" w:hAnsi="Times New Roman" w:cs="Times New Roman"/>
                <w:sz w:val="24"/>
                <w:szCs w:val="24"/>
              </w:rPr>
              <w:t xml:space="preserve">pplicants should be aware that Australian and Mongolian classifications of what constitutes a disability are different, and existing medical/ health conditions will not be accepted as a disability – for details please review the </w:t>
            </w:r>
            <w:hyperlink r:id="rId11" w:history="1">
              <w:r w:rsidRPr="00E93337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Australia Awards Scholarships Policy Handbook</w:t>
              </w:r>
            </w:hyperlink>
            <w:r w:rsidRPr="00832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section 9, clauses 9.1.5 and 9.10</w:t>
            </w:r>
          </w:p>
        </w:tc>
      </w:tr>
      <w:tr w:rsidR="00E91A8B" w:rsidRPr="004300B0" w14:paraId="799DFA8C" w14:textId="77777777" w:rsidTr="005C0A09">
        <w:trPr>
          <w:trHeight w:val="46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053C" w14:textId="7058AC41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Q12: Are you currently employed?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7AEE" w14:textId="1C532169" w:rsidR="00E91A8B" w:rsidRPr="004300B0" w:rsidRDefault="00E91A8B" w:rsidP="00832ECB">
            <w:pPr>
              <w:spacing w:before="120" w:line="259" w:lineRule="auto"/>
              <w:ind w:left="0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Q13</w:t>
            </w:r>
            <w:r w:rsidR="00832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D5C7" w14:textId="5F1FACE1" w:rsidR="00E91A8B" w:rsidRPr="004300B0" w:rsidRDefault="00E91A8B" w:rsidP="004300B0">
            <w:pPr>
              <w:spacing w:before="120" w:line="259" w:lineRule="auto"/>
              <w:ind w:left="2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If you are on approved Maternity Leave from employment, you are eligible</w:t>
            </w:r>
          </w:p>
        </w:tc>
      </w:tr>
      <w:tr w:rsidR="00E91A8B" w:rsidRPr="004300B0" w14:paraId="78F6E516" w14:textId="77777777" w:rsidTr="005C0A09">
        <w:trPr>
          <w:trHeight w:val="93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C319" w14:textId="66C5F3CD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Q13: Do you have at least two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years’ continuous work experience since 1 February 2019?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61D6" w14:textId="6FBB1AFE" w:rsidR="00E91A8B" w:rsidRPr="004300B0" w:rsidRDefault="00E91A8B" w:rsidP="00832ECB">
            <w:pPr>
              <w:spacing w:before="120" w:line="259" w:lineRule="auto"/>
              <w:ind w:left="0" w:righ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Q14</w:t>
            </w:r>
            <w:r w:rsidR="00832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E5BA" w14:textId="6CE8E7EB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Applicants (apart from those with an identified and verified disability) must demonstrate at least two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-y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ears’ continuous employment, up to 1 February 2021 (maternity leave excepted)</w:t>
            </w:r>
          </w:p>
        </w:tc>
      </w:tr>
      <w:tr w:rsidR="00E91A8B" w:rsidRPr="004300B0" w14:paraId="2E1AAA0C" w14:textId="77777777" w:rsidTr="005C0A09">
        <w:trPr>
          <w:trHeight w:val="1117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3237" w14:textId="718CBAE8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Q14: Do you have an IELTS (Academic) overall score of at least 6.0 with no individual band score less than 5.5 (or equivalent TOEFL-iBT/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PTE score)?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5B3" w14:textId="4894B2A5" w:rsidR="00E91A8B" w:rsidRPr="004300B0" w:rsidRDefault="00E91A8B" w:rsidP="00832ECB">
            <w:pPr>
              <w:spacing w:before="12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Continue to Q15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25E6" w14:textId="15EA4498" w:rsidR="00E91A8B" w:rsidRPr="004300B0" w:rsidRDefault="00E91A8B" w:rsidP="004300B0">
            <w:pPr>
              <w:spacing w:before="120" w:after="1" w:line="240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You will be ineligible unless you can reach the required level of English language proficiency by 30 April 2021. Refer to the English 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anguage 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equirements 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heet for IELTS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TOEFL-iBT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and PTE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equivalencies</w:t>
            </w:r>
          </w:p>
        </w:tc>
      </w:tr>
      <w:tr w:rsidR="00E91A8B" w:rsidRPr="004300B0" w14:paraId="5DDCCF61" w14:textId="77777777" w:rsidTr="005C0A09">
        <w:trPr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6E33" w14:textId="46B6CF3D" w:rsidR="00E91A8B" w:rsidRPr="004300B0" w:rsidRDefault="00E91A8B" w:rsidP="00832ECB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Q15: Will your English language certificate be valid on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January 2022?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EC94" w14:textId="496F39E2" w:rsidR="00E91A8B" w:rsidRPr="004300B0" w:rsidRDefault="00E91A8B" w:rsidP="00832ECB">
            <w:pPr>
              <w:spacing w:before="12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Yes. Continue to the</w:t>
            </w:r>
            <w:r w:rsidR="0083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0B0">
              <w:rPr>
                <w:rFonts w:ascii="Times New Roman" w:hAnsi="Times New Roman" w:cs="Times New Roman"/>
                <w:b/>
                <w:sz w:val="24"/>
                <w:szCs w:val="24"/>
              </w:rPr>
              <w:t>Checklist outcom</w:t>
            </w:r>
            <w:r w:rsidR="00832EC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32E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300B0">
              <w:rPr>
                <w:rFonts w:ascii="Times New Roman" w:hAnsi="Times New Roman" w:cs="Times New Roman"/>
                <w:sz w:val="24"/>
                <w:szCs w:val="24"/>
              </w:rPr>
              <w:t>No. You are ineligible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E180" w14:textId="22AF4376" w:rsidR="00E91A8B" w:rsidRPr="004300B0" w:rsidRDefault="00E91A8B" w:rsidP="004300B0">
            <w:pPr>
              <w:spacing w:before="12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English language tests are valid for two</w:t>
            </w:r>
            <w:r w:rsidR="00832E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30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years and must have been taken no earlier than 1 January 2020</w:t>
            </w:r>
          </w:p>
        </w:tc>
      </w:tr>
    </w:tbl>
    <w:p w14:paraId="7B0C9B05" w14:textId="0442A26F" w:rsidR="00DB4BF4" w:rsidRPr="004300B0" w:rsidRDefault="00DB4BF4">
      <w:pPr>
        <w:spacing w:after="18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A40667" w14:textId="618F4C47" w:rsidR="00DB4BF4" w:rsidRPr="004300B0" w:rsidRDefault="00DB4731">
      <w:pPr>
        <w:ind w:left="-5"/>
        <w:rPr>
          <w:rFonts w:ascii="Times New Roman" w:hAnsi="Times New Roman" w:cs="Times New Roman"/>
          <w:sz w:val="24"/>
          <w:szCs w:val="24"/>
        </w:rPr>
      </w:pPr>
      <w:r w:rsidRPr="004300B0">
        <w:rPr>
          <w:rFonts w:ascii="Times New Roman" w:hAnsi="Times New Roman" w:cs="Times New Roman"/>
          <w:b/>
          <w:sz w:val="24"/>
          <w:szCs w:val="24"/>
        </w:rPr>
        <w:t>Checklist outcome</w:t>
      </w:r>
      <w:r w:rsidRPr="004300B0">
        <w:rPr>
          <w:rFonts w:ascii="Times New Roman" w:hAnsi="Times New Roman" w:cs="Times New Roman"/>
          <w:sz w:val="24"/>
          <w:szCs w:val="24"/>
        </w:rPr>
        <w:t>: You have met the eligibility criteria for 202</w:t>
      </w:r>
      <w:r w:rsidR="006B4CCA" w:rsidRPr="004300B0">
        <w:rPr>
          <w:rFonts w:ascii="Times New Roman" w:hAnsi="Times New Roman" w:cs="Times New Roman"/>
          <w:sz w:val="24"/>
          <w:szCs w:val="24"/>
        </w:rPr>
        <w:t>2</w:t>
      </w:r>
      <w:r w:rsidR="00832ECB">
        <w:rPr>
          <w:rFonts w:ascii="Times New Roman" w:hAnsi="Times New Roman" w:cs="Times New Roman"/>
          <w:sz w:val="24"/>
          <w:szCs w:val="24"/>
        </w:rPr>
        <w:t xml:space="preserve"> - y</w:t>
      </w:r>
      <w:r w:rsidRPr="004300B0">
        <w:rPr>
          <w:rFonts w:ascii="Times New Roman" w:hAnsi="Times New Roman" w:cs="Times New Roman"/>
          <w:sz w:val="24"/>
          <w:szCs w:val="24"/>
        </w:rPr>
        <w:t>ou should complete the application form</w:t>
      </w:r>
      <w:r w:rsidR="00832ECB">
        <w:rPr>
          <w:rFonts w:ascii="Times New Roman" w:hAnsi="Times New Roman" w:cs="Times New Roman"/>
          <w:sz w:val="24"/>
          <w:szCs w:val="24"/>
        </w:rPr>
        <w:t>.</w:t>
      </w:r>
    </w:p>
    <w:sectPr w:rsidR="00DB4BF4" w:rsidRPr="004300B0" w:rsidSect="005C0A09">
      <w:pgSz w:w="16838" w:h="11906" w:orient="landscape"/>
      <w:pgMar w:top="1021" w:right="1418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F4"/>
    <w:rsid w:val="00011A24"/>
    <w:rsid w:val="00025DBF"/>
    <w:rsid w:val="00096682"/>
    <w:rsid w:val="00213C48"/>
    <w:rsid w:val="00214EA2"/>
    <w:rsid w:val="0022779C"/>
    <w:rsid w:val="002865FE"/>
    <w:rsid w:val="0035193B"/>
    <w:rsid w:val="00356AB9"/>
    <w:rsid w:val="00373C83"/>
    <w:rsid w:val="003D12B9"/>
    <w:rsid w:val="003D3D5F"/>
    <w:rsid w:val="004012EE"/>
    <w:rsid w:val="004150BE"/>
    <w:rsid w:val="0041636F"/>
    <w:rsid w:val="004300B0"/>
    <w:rsid w:val="0043497A"/>
    <w:rsid w:val="004455EE"/>
    <w:rsid w:val="004872D0"/>
    <w:rsid w:val="004F6A56"/>
    <w:rsid w:val="005742F8"/>
    <w:rsid w:val="005C0A09"/>
    <w:rsid w:val="006B4CCA"/>
    <w:rsid w:val="006D2072"/>
    <w:rsid w:val="006D3C4E"/>
    <w:rsid w:val="007C1F84"/>
    <w:rsid w:val="007D2976"/>
    <w:rsid w:val="00832ECB"/>
    <w:rsid w:val="008376E7"/>
    <w:rsid w:val="00993FFA"/>
    <w:rsid w:val="009F717A"/>
    <w:rsid w:val="00A73A26"/>
    <w:rsid w:val="00B40A14"/>
    <w:rsid w:val="00CF0D96"/>
    <w:rsid w:val="00DB3323"/>
    <w:rsid w:val="00DB4731"/>
    <w:rsid w:val="00DB4BF4"/>
    <w:rsid w:val="00E8505A"/>
    <w:rsid w:val="00E91A8B"/>
    <w:rsid w:val="00E93337"/>
    <w:rsid w:val="00F168ED"/>
    <w:rsid w:val="00F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7760"/>
  <w15:docId w15:val="{E55B17B7-A1D7-424C-86DC-9251714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">
    <w:name w:val="Bullet"/>
    <w:basedOn w:val="Normal"/>
    <w:qFormat/>
    <w:rsid w:val="00832ECB"/>
    <w:pPr>
      <w:numPr>
        <w:numId w:val="1"/>
      </w:numPr>
      <w:spacing w:before="113" w:after="113" w:line="240" w:lineRule="atLeast"/>
    </w:pPr>
    <w:rPr>
      <w:rFonts w:eastAsiaTheme="majorEastAsia" w:cstheme="majorBidi"/>
      <w:color w:val="000000" w:themeColor="text1"/>
      <w:spacing w:val="-2"/>
      <w:kern w:val="28"/>
      <w:szCs w:val="52"/>
      <w:lang w:val="en-AU"/>
    </w:rPr>
  </w:style>
  <w:style w:type="numbering" w:customStyle="1" w:styleId="Bullets">
    <w:name w:val="Bullets"/>
    <w:basedOn w:val="NoList"/>
    <w:uiPriority w:val="99"/>
    <w:rsid w:val="00832EC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CB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EC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ECB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3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traliaawardsmongoli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at.gov.au/sites/default/files/aus-awards-scholarships-policy-handboo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straliaawardsmongolia.org/wp-content/uploads/2021/01/Country-Profile-Mongolia-2022-English.pdf" TargetMode="External"/><Relationship Id="rId11" Type="http://schemas.openxmlformats.org/officeDocument/2006/relationships/hyperlink" Target="https://www.dfat.gov.au/sites/default/files/aus-awards-scholarships-policy-handbook.pdf" TargetMode="External"/><Relationship Id="rId5" Type="http://schemas.openxmlformats.org/officeDocument/2006/relationships/hyperlink" Target="https://oasis.dfat.gov.au/" TargetMode="External"/><Relationship Id="rId10" Type="http://schemas.openxmlformats.org/officeDocument/2006/relationships/hyperlink" Target="http://australiaawardsmongol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straliaawardsmongo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Saunderson, Neville</dc:creator>
  <cp:keywords/>
  <cp:lastModifiedBy>Shurentsetseg Oyunbileg</cp:lastModifiedBy>
  <cp:revision>5</cp:revision>
  <cp:lastPrinted>2020-01-03T02:36:00Z</cp:lastPrinted>
  <dcterms:created xsi:type="dcterms:W3CDTF">2020-12-21T02:47:00Z</dcterms:created>
  <dcterms:modified xsi:type="dcterms:W3CDTF">2021-01-05T09:00:00Z</dcterms:modified>
</cp:coreProperties>
</file>